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D63" w:rsidRDefault="00A27D63" w:rsidP="00A27D63">
      <w:pPr>
        <w:rPr>
          <w:rFonts w:ascii="Arial" w:hAnsi="Arial" w:cs="Arial"/>
          <w:color w:val="1F497D"/>
        </w:rPr>
      </w:pPr>
      <w:r>
        <w:rPr>
          <w:rFonts w:ascii="Arial" w:hAnsi="Arial" w:cs="Arial"/>
          <w:color w:val="1F497D"/>
          <w:rtl/>
        </w:rPr>
        <w:t>החובה להפריש כספים בהתאם לצו ההרחבה או להסכם מיטיב אחר – היא חובה בחוק שיש לבצעה.</w:t>
      </w:r>
    </w:p>
    <w:p w:rsidR="00A27D63" w:rsidRDefault="00A27D63" w:rsidP="00A27D63">
      <w:pPr>
        <w:rPr>
          <w:rFonts w:ascii="Arial" w:hAnsi="Arial" w:cs="Arial"/>
          <w:color w:val="1F497D"/>
          <w:rtl/>
        </w:rPr>
      </w:pPr>
    </w:p>
    <w:p w:rsidR="00A27D63" w:rsidRPr="006F6D93" w:rsidRDefault="00A27D63" w:rsidP="00A27D63">
      <w:pPr>
        <w:rPr>
          <w:rFonts w:ascii="Arial" w:hAnsi="Arial" w:cs="Arial"/>
          <w:rtl/>
        </w:rPr>
      </w:pPr>
      <w:r>
        <w:rPr>
          <w:rFonts w:ascii="Arial" w:hAnsi="Arial" w:cs="Arial"/>
          <w:color w:val="1F497D"/>
          <w:rtl/>
        </w:rPr>
        <w:t xml:space="preserve">מצ"ב קישור לצו ההרחבה בנוגע לפנסיה (המקור החוקי המחייב את הפרשות): </w:t>
      </w:r>
      <w:hyperlink r:id="rId7" w:history="1">
        <w:r w:rsidRPr="006F6D93">
          <w:rPr>
            <w:rStyle w:val="Hyperlink"/>
            <w:rFonts w:ascii="Arial" w:hAnsi="Arial" w:cs="Arial"/>
            <w:rtl/>
          </w:rPr>
          <w:t>צו הרחבה פנסיה</w:t>
        </w:r>
      </w:hyperlink>
    </w:p>
    <w:p w:rsidR="00A27D63" w:rsidRPr="006F6D93" w:rsidRDefault="00A27D63" w:rsidP="00A27D63">
      <w:pPr>
        <w:rPr>
          <w:rFonts w:ascii="Arial" w:hAnsi="Arial" w:cs="Arial"/>
          <w:rtl/>
        </w:rPr>
      </w:pPr>
    </w:p>
    <w:p w:rsidR="00A27D63" w:rsidRDefault="00A27D63" w:rsidP="00A27D63">
      <w:pPr>
        <w:rPr>
          <w:rFonts w:ascii="Arial" w:hAnsi="Arial" w:cs="Arial"/>
          <w:color w:val="1F497D"/>
          <w:rtl/>
        </w:rPr>
      </w:pPr>
      <w:r>
        <w:rPr>
          <w:rFonts w:ascii="Arial" w:hAnsi="Arial" w:cs="Arial"/>
          <w:color w:val="1F497D"/>
          <w:rtl/>
        </w:rPr>
        <w:t xml:space="preserve">בשלב זה וכל עוד לא ניתן לקיימה כלשונה בדיוק על פי הוראות צו ההרחבה (משום שעדיין לא נחקקו התקנות המייסדות קרן ייעודית לצורך העניין בהתאם להוראות סע' 1 יא' לחוק עובדים זרים)  --  יש לקיים את החובה בקירוב האפשרי. </w:t>
      </w:r>
    </w:p>
    <w:p w:rsidR="00A27D63" w:rsidRDefault="00A27D63" w:rsidP="00A27D63">
      <w:pPr>
        <w:rPr>
          <w:rFonts w:ascii="Arial" w:hAnsi="Arial" w:cs="Arial"/>
          <w:color w:val="1F497D"/>
          <w:rtl/>
        </w:rPr>
      </w:pPr>
    </w:p>
    <w:p w:rsidR="00A27D63" w:rsidRDefault="00A27D63" w:rsidP="00A27D63">
      <w:pPr>
        <w:rPr>
          <w:rFonts w:ascii="Arial" w:hAnsi="Arial" w:cs="Arial"/>
          <w:color w:val="1F497D"/>
          <w:rtl/>
        </w:rPr>
      </w:pPr>
      <w:r>
        <w:rPr>
          <w:rFonts w:ascii="Arial" w:hAnsi="Arial" w:cs="Arial"/>
          <w:color w:val="1F497D"/>
          <w:rtl/>
        </w:rPr>
        <w:t xml:space="preserve">לצורך כך הוציא המשרד את ההמלצה </w:t>
      </w:r>
      <w:hyperlink r:id="rId8" w:history="1">
        <w:r>
          <w:rPr>
            <w:rStyle w:val="Hyperlink"/>
            <w:rFonts w:ascii="Arial" w:hAnsi="Arial" w:cs="Arial"/>
            <w:rtl/>
          </w:rPr>
          <w:t>בנוסח הבא</w:t>
        </w:r>
      </w:hyperlink>
      <w:r>
        <w:rPr>
          <w:rFonts w:ascii="Arial" w:hAnsi="Arial" w:cs="Arial"/>
          <w:color w:val="1F497D"/>
          <w:rtl/>
        </w:rPr>
        <w:t>, שהיא כמעט לשון חיוב (אלא אם אתה מוצא פתרון אחר טוב יותר).</w:t>
      </w:r>
    </w:p>
    <w:p w:rsidR="00A27D63" w:rsidRDefault="00A27D63" w:rsidP="00A27D63">
      <w:pPr>
        <w:rPr>
          <w:rFonts w:ascii="Arial" w:hAnsi="Arial" w:cs="Arial"/>
          <w:color w:val="1F497D"/>
          <w:rtl/>
        </w:rPr>
      </w:pPr>
    </w:p>
    <w:p w:rsidR="00A27D63" w:rsidRDefault="00A27D63" w:rsidP="00823C84">
      <w:pPr>
        <w:rPr>
          <w:rFonts w:ascii="Arial" w:hAnsi="Arial" w:cs="Arial"/>
          <w:b/>
          <w:bCs/>
          <w:color w:val="1F497D"/>
          <w:rtl/>
        </w:rPr>
      </w:pPr>
      <w:r>
        <w:rPr>
          <w:rFonts w:ascii="Arial" w:hAnsi="Arial" w:cs="Arial"/>
          <w:color w:val="1F497D"/>
          <w:rtl/>
        </w:rPr>
        <w:t xml:space="preserve">לכן: ככלל, </w:t>
      </w:r>
      <w:r>
        <w:rPr>
          <w:rFonts w:ascii="Arial" w:hAnsi="Arial" w:cs="Arial"/>
          <w:b/>
          <w:bCs/>
          <w:color w:val="1F497D"/>
          <w:rtl/>
        </w:rPr>
        <w:t xml:space="preserve">כספים לפנסיה בגין עבודת כל עובד זר (ובכלל זה "עובד זר" שהוא מסתנן/מבקש מקלט) יופרשו כחוק לחשבון ייעודי, שייפתח לצורך צבירת כספים אלה ויהיה ברור לכל המעורבים בדבר (העובד, המעסיק, וגורמים אחרים המוסמכים לקבל מידע בנושא) להיכן בדיוק מופרשים הכספים הללו. הכספים יופרשו וייצברו בחשבון עד למועד שבו העובד יסיים </w:t>
      </w:r>
      <w:r w:rsidR="00823C84">
        <w:rPr>
          <w:rFonts w:ascii="Arial" w:hAnsi="Arial" w:cs="Arial" w:hint="cs"/>
          <w:b/>
          <w:bCs/>
          <w:color w:val="1F497D"/>
          <w:rtl/>
        </w:rPr>
        <w:t>עבודתו</w:t>
      </w:r>
      <w:r>
        <w:rPr>
          <w:rFonts w:ascii="Arial" w:hAnsi="Arial" w:cs="Arial"/>
          <w:b/>
          <w:bCs/>
          <w:color w:val="1F497D"/>
          <w:rtl/>
        </w:rPr>
        <w:t xml:space="preserve">. </w:t>
      </w:r>
      <w:bookmarkStart w:id="0" w:name="_GoBack"/>
      <w:bookmarkEnd w:id="0"/>
      <w:r>
        <w:rPr>
          <w:rFonts w:ascii="Arial" w:hAnsi="Arial" w:cs="Arial"/>
          <w:b/>
          <w:bCs/>
          <w:color w:val="1F497D"/>
          <w:rtl/>
        </w:rPr>
        <w:t xml:space="preserve">אם העובד מחליף מעסיק במהלך תקופת שהייתו כחוק לצורך עבודה בישראל – ניתן להעביר את הכספים מחשבון </w:t>
      </w:r>
      <w:proofErr w:type="spellStart"/>
      <w:r>
        <w:rPr>
          <w:rFonts w:ascii="Arial" w:hAnsi="Arial" w:cs="Arial"/>
          <w:b/>
          <w:bCs/>
          <w:color w:val="1F497D"/>
          <w:rtl/>
        </w:rPr>
        <w:t>הפקדון</w:t>
      </w:r>
      <w:proofErr w:type="spellEnd"/>
      <w:r>
        <w:rPr>
          <w:rFonts w:ascii="Arial" w:hAnsi="Arial" w:cs="Arial"/>
          <w:b/>
          <w:bCs/>
          <w:color w:val="1F497D"/>
          <w:rtl/>
        </w:rPr>
        <w:t xml:space="preserve"> שנפתח ע"י המעסיק הקודם לחשבון ייעודי חדש שייפתח ע"י המעסיק החדש.</w:t>
      </w:r>
    </w:p>
    <w:p w:rsidR="00A27D63" w:rsidRDefault="00A27D63" w:rsidP="00A27D63">
      <w:pPr>
        <w:rPr>
          <w:rtl/>
        </w:rPr>
      </w:pPr>
      <w:r>
        <w:rPr>
          <w:rFonts w:ascii="Times New Roman" w:hAnsi="Times New Roman" w:cs="Times New Roman"/>
          <w:rtl/>
        </w:rPr>
        <w:t xml:space="preserve">                                                                                                                                                                                           </w:t>
      </w:r>
    </w:p>
    <w:p w:rsidR="00A27D63" w:rsidRDefault="00A27D63" w:rsidP="00A27D63">
      <w:pPr>
        <w:rPr>
          <w:rFonts w:ascii="Arial" w:hAnsi="Arial" w:cs="Arial"/>
          <w:color w:val="1F497D"/>
        </w:rPr>
      </w:pPr>
      <w:r>
        <w:rPr>
          <w:rFonts w:ascii="Arial" w:hAnsi="Arial" w:cs="Arial"/>
          <w:color w:val="1F497D"/>
          <w:rtl/>
        </w:rPr>
        <w:t xml:space="preserve">אציין כי בהתאם לצו ההרחבה הכספים המופרשים לטובת העובד הם משלושה 'כיסים': כיס המעסיק לטובת חסכון פנסיוני; כיס העובד לטובת חסכון פנסיוני וכיס המעסיק לטובת פיצויים  --  </w:t>
      </w:r>
      <w:proofErr w:type="spellStart"/>
      <w:r>
        <w:rPr>
          <w:rFonts w:ascii="Arial" w:hAnsi="Arial" w:cs="Arial"/>
          <w:color w:val="1F497D"/>
          <w:rtl/>
        </w:rPr>
        <w:t>הכל</w:t>
      </w:r>
      <w:proofErr w:type="spellEnd"/>
      <w:r>
        <w:rPr>
          <w:rFonts w:ascii="Arial" w:hAnsi="Arial" w:cs="Arial"/>
          <w:color w:val="1F497D"/>
          <w:rtl/>
        </w:rPr>
        <w:t xml:space="preserve"> לפי האחוזים המפורטים </w:t>
      </w:r>
      <w:proofErr w:type="spellStart"/>
      <w:r>
        <w:rPr>
          <w:rFonts w:ascii="Arial" w:hAnsi="Arial" w:cs="Arial"/>
          <w:color w:val="1F497D"/>
          <w:rtl/>
        </w:rPr>
        <w:t>בסע</w:t>
      </w:r>
      <w:proofErr w:type="spellEnd"/>
      <w:r>
        <w:rPr>
          <w:rFonts w:ascii="Arial" w:hAnsi="Arial" w:cs="Arial"/>
          <w:color w:val="1F497D"/>
          <w:rtl/>
        </w:rPr>
        <w:t>' 6 בצו.</w:t>
      </w:r>
    </w:p>
    <w:p w:rsidR="00A27D63" w:rsidRDefault="00A27D63" w:rsidP="00A27D63">
      <w:pPr>
        <w:rPr>
          <w:rFonts w:ascii="Arial" w:hAnsi="Arial" w:cs="Arial"/>
          <w:color w:val="1F497D"/>
        </w:rPr>
      </w:pPr>
    </w:p>
    <w:p w:rsidR="00A27D63" w:rsidRDefault="00A27D63" w:rsidP="00A27D63">
      <w:pPr>
        <w:rPr>
          <w:rFonts w:ascii="Arial" w:hAnsi="Arial" w:cs="Arial"/>
          <w:color w:val="1F497D"/>
          <w:rtl/>
        </w:rPr>
      </w:pPr>
      <w:r>
        <w:rPr>
          <w:rFonts w:ascii="Arial" w:hAnsi="Arial" w:cs="Arial"/>
          <w:color w:val="1F497D"/>
          <w:rtl/>
        </w:rPr>
        <w:t>במקרה של זכאות לפדיון הכספים שהופרשו כנ"ל – העובד יקבל אליו (בכפוף להוראות הצו) את כל הכספים שהופרשו ללא יוצא מהכלל (לרבות הכספים שהופרשו מכיס המעסיק לטובת פיצויים).</w:t>
      </w:r>
    </w:p>
    <w:p w:rsidR="00A27D63" w:rsidRDefault="00A27D63" w:rsidP="00A27D63">
      <w:pPr>
        <w:rPr>
          <w:rFonts w:ascii="Arial" w:hAnsi="Arial" w:cs="Arial"/>
          <w:color w:val="1F497D"/>
          <w:rtl/>
        </w:rPr>
      </w:pPr>
    </w:p>
    <w:p w:rsidR="00A27D63" w:rsidRDefault="00A27D63" w:rsidP="00A27D63">
      <w:pPr>
        <w:rPr>
          <w:rFonts w:ascii="Arial" w:hAnsi="Arial" w:cs="Arial"/>
          <w:color w:val="1F497D"/>
        </w:rPr>
      </w:pPr>
      <w:r>
        <w:rPr>
          <w:rFonts w:ascii="Arial" w:hAnsi="Arial" w:cs="Arial"/>
          <w:color w:val="1F497D"/>
          <w:rtl/>
        </w:rPr>
        <w:t>במקרה של זכאות לפיצויי פיטורין וגם זכאות לפדיון הכספים שהופרשו כנ"ל - מכלל הכספים להם זכאי העובד כפיצויי פיטורין לפי חוק פיצויי פיטורין יש לנכות את הכספים שהופרשו כפיצויי פיטורים לפי צו ההרחבה ואשר ייפדו ע"י העובד לפי צו זה.</w:t>
      </w:r>
    </w:p>
    <w:p w:rsidR="00A27D63" w:rsidRDefault="00A27D63" w:rsidP="00A27D63">
      <w:pPr>
        <w:rPr>
          <w:rFonts w:ascii="Arial" w:hAnsi="Arial" w:cs="Arial"/>
          <w:color w:val="1F497D"/>
        </w:rPr>
      </w:pPr>
    </w:p>
    <w:p w:rsidR="00A27D63" w:rsidRDefault="00A27D63" w:rsidP="00A27D63">
      <w:pPr>
        <w:rPr>
          <w:rFonts w:ascii="Arial" w:hAnsi="Arial" w:cs="Arial"/>
          <w:color w:val="1F497D"/>
          <w:rtl/>
        </w:rPr>
      </w:pPr>
      <w:r>
        <w:rPr>
          <w:rFonts w:ascii="Arial" w:hAnsi="Arial" w:cs="Arial"/>
          <w:color w:val="1F497D"/>
          <w:rtl/>
        </w:rPr>
        <w:t xml:space="preserve">כל הכספים בחשבון </w:t>
      </w:r>
      <w:proofErr w:type="spellStart"/>
      <w:r>
        <w:rPr>
          <w:rFonts w:ascii="Arial" w:hAnsi="Arial" w:cs="Arial"/>
          <w:color w:val="1F497D"/>
          <w:rtl/>
        </w:rPr>
        <w:t>הפקדון</w:t>
      </w:r>
      <w:proofErr w:type="spellEnd"/>
      <w:r>
        <w:rPr>
          <w:rFonts w:ascii="Arial" w:hAnsi="Arial" w:cs="Arial"/>
          <w:color w:val="1F497D"/>
          <w:rtl/>
        </w:rPr>
        <w:t xml:space="preserve"> הנ"ל – מופקדים לטובת העובד והמעסיק אינו יכול למשוך אותם חזרה אלא בכפוף להוראת צו ההרחבה בנוגע לפנסיה.</w:t>
      </w:r>
    </w:p>
    <w:p w:rsidR="00A27D63" w:rsidRDefault="00A27D63" w:rsidP="00A27D63">
      <w:pPr>
        <w:rPr>
          <w:rFonts w:ascii="Arial" w:hAnsi="Arial" w:cs="Arial"/>
          <w:color w:val="1F497D"/>
          <w:rtl/>
        </w:rPr>
      </w:pPr>
    </w:p>
    <w:p w:rsidR="00544F41" w:rsidRDefault="00544F41"/>
    <w:sectPr w:rsidR="00544F41" w:rsidSect="00415B40">
      <w:headerReference w:type="default" r:id="rId9"/>
      <w:footerReference w:type="default" r:id="rId10"/>
      <w:pgSz w:w="11906" w:h="16838"/>
      <w:pgMar w:top="1440" w:right="1800" w:bottom="1440" w:left="1800" w:header="0"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1F6" w:rsidRDefault="00E811F6">
      <w:r>
        <w:separator/>
      </w:r>
    </w:p>
  </w:endnote>
  <w:endnote w:type="continuationSeparator" w:id="0">
    <w:p w:rsidR="00E811F6" w:rsidRDefault="00E81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316" w:rsidRDefault="00A64316" w:rsidP="00E653EC">
    <w:pPr>
      <w:pStyle w:val="a5"/>
      <w:ind w:left="-766"/>
      <w:rPr>
        <w:rStyle w:val="Hyperlink"/>
        <w:rFonts w:ascii="Arial" w:hAnsi="Arial"/>
        <w:sz w:val="20"/>
        <w:szCs w:val="20"/>
        <w:rtl/>
      </w:rPr>
    </w:pPr>
    <w:r w:rsidRPr="006D2A39">
      <w:rPr>
        <w:rFonts w:ascii="Arial" w:hAnsi="Arial"/>
        <w:sz w:val="20"/>
        <w:szCs w:val="20"/>
        <w:rtl/>
      </w:rPr>
      <w:t>משרד הכלכלה</w:t>
    </w:r>
    <w:r w:rsidRPr="006D2A39">
      <w:rPr>
        <w:rFonts w:ascii="Arial" w:hAnsi="Arial"/>
        <w:sz w:val="20"/>
        <w:szCs w:val="20"/>
        <w:rtl/>
      </w:rPr>
      <w:br/>
      <w:t>דרך של</w:t>
    </w:r>
    <w:r w:rsidR="00EB18AE">
      <w:rPr>
        <w:rFonts w:ascii="Arial" w:hAnsi="Arial"/>
        <w:sz w:val="20"/>
        <w:szCs w:val="20"/>
        <w:rtl/>
      </w:rPr>
      <w:t>מה (</w:t>
    </w:r>
    <w:proofErr w:type="spellStart"/>
    <w:r w:rsidR="00EB18AE">
      <w:rPr>
        <w:rFonts w:ascii="Arial" w:hAnsi="Arial"/>
        <w:sz w:val="20"/>
        <w:szCs w:val="20"/>
        <w:rtl/>
      </w:rPr>
      <w:t>סלמה</w:t>
    </w:r>
    <w:proofErr w:type="spellEnd"/>
    <w:r w:rsidR="00EB18AE">
      <w:rPr>
        <w:rFonts w:ascii="Arial" w:hAnsi="Arial"/>
        <w:sz w:val="20"/>
        <w:szCs w:val="20"/>
        <w:rtl/>
      </w:rPr>
      <w:t>) 53, ת"ד 393 תל אביב 6</w:t>
    </w:r>
    <w:r w:rsidRPr="006D2A39">
      <w:rPr>
        <w:rFonts w:ascii="Arial" w:hAnsi="Arial"/>
        <w:sz w:val="20"/>
        <w:szCs w:val="20"/>
        <w:rtl/>
      </w:rPr>
      <w:t>100301</w:t>
    </w:r>
    <w:r w:rsidRPr="006D2A39">
      <w:rPr>
        <w:rFonts w:ascii="Arial" w:hAnsi="Arial"/>
        <w:sz w:val="20"/>
        <w:szCs w:val="20"/>
        <w:rtl/>
      </w:rPr>
      <w:br/>
      <w:t>טל' 03-7347230, פקס 03-7347269, נייד 050-6240546,</w:t>
    </w:r>
    <w:r w:rsidR="00E653EC">
      <w:rPr>
        <w:rFonts w:ascii="Arial" w:hAnsi="Arial" w:hint="cs"/>
        <w:sz w:val="20"/>
        <w:szCs w:val="20"/>
        <w:rtl/>
      </w:rPr>
      <w:t xml:space="preserve"> </w:t>
    </w:r>
    <w:r w:rsidR="00E653EC" w:rsidRPr="00EB18AE">
      <w:rPr>
        <w:rFonts w:ascii="Arial" w:hAnsi="Arial"/>
        <w:sz w:val="20"/>
        <w:szCs w:val="20"/>
      </w:rPr>
      <w:t>iris.maayan@economy.gov.il</w:t>
    </w:r>
  </w:p>
  <w:p w:rsidR="00EB18AE" w:rsidRDefault="00EB18AE" w:rsidP="00E653EC">
    <w:pPr>
      <w:pStyle w:val="a5"/>
      <w:ind w:left="-766"/>
      <w:rPr>
        <w:rtl/>
      </w:rPr>
    </w:pPr>
  </w:p>
  <w:p w:rsidR="00415B40" w:rsidRDefault="00E811F6" w:rsidP="00415B40">
    <w:pPr>
      <w:pStyle w:val="a5"/>
      <w:ind w:hanging="1759"/>
      <w:rPr>
        <w:noProof/>
      </w:rPr>
    </w:pPr>
  </w:p>
  <w:p w:rsidR="00A64316" w:rsidRDefault="00A64316" w:rsidP="00415B40">
    <w:pPr>
      <w:pStyle w:val="a5"/>
      <w:ind w:hanging="1759"/>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1F6" w:rsidRDefault="00E811F6">
      <w:r>
        <w:separator/>
      </w:r>
    </w:p>
  </w:footnote>
  <w:footnote w:type="continuationSeparator" w:id="0">
    <w:p w:rsidR="00E811F6" w:rsidRDefault="00E811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B40" w:rsidRDefault="00104E73" w:rsidP="00415B40">
    <w:pPr>
      <w:pStyle w:val="a3"/>
      <w:tabs>
        <w:tab w:val="clear" w:pos="8306"/>
      </w:tabs>
      <w:ind w:left="-58" w:right="-1800" w:hanging="1701"/>
    </w:pPr>
    <w:r>
      <w:rPr>
        <w:noProof/>
      </w:rPr>
      <w:drawing>
        <wp:inline distT="0" distB="0" distL="0" distR="0">
          <wp:extent cx="7524750" cy="1881187"/>
          <wp:effectExtent l="0" t="0" r="0" b="508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0" descr="tamat_7976_template_A4.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4750" cy="1881187"/>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D63"/>
    <w:rsid w:val="00104E73"/>
    <w:rsid w:val="00407E63"/>
    <w:rsid w:val="0048081C"/>
    <w:rsid w:val="00544F41"/>
    <w:rsid w:val="00665202"/>
    <w:rsid w:val="006F6D93"/>
    <w:rsid w:val="007A602F"/>
    <w:rsid w:val="00823C84"/>
    <w:rsid w:val="00900C50"/>
    <w:rsid w:val="009A67A1"/>
    <w:rsid w:val="00A27D63"/>
    <w:rsid w:val="00A64316"/>
    <w:rsid w:val="00CF0762"/>
    <w:rsid w:val="00D65989"/>
    <w:rsid w:val="00E653EC"/>
    <w:rsid w:val="00E811F6"/>
    <w:rsid w:val="00E93841"/>
    <w:rsid w:val="00EB18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D63"/>
    <w:pPr>
      <w:bidi/>
      <w:spacing w:after="0" w:line="240" w:lineRule="auto"/>
    </w:pPr>
    <w:rPr>
      <w:rFonts w:ascii="Calibri" w:eastAsiaTheme="minorHAns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4E73"/>
    <w:pPr>
      <w:tabs>
        <w:tab w:val="center" w:pos="4153"/>
        <w:tab w:val="right" w:pos="8306"/>
      </w:tabs>
    </w:pPr>
    <w:rPr>
      <w:rFonts w:eastAsia="Times New Roman" w:cs="Arial"/>
    </w:rPr>
  </w:style>
  <w:style w:type="character" w:customStyle="1" w:styleId="a4">
    <w:name w:val="כותרת עליונה תו"/>
    <w:basedOn w:val="a0"/>
    <w:link w:val="a3"/>
    <w:uiPriority w:val="99"/>
    <w:rsid w:val="00104E73"/>
    <w:rPr>
      <w:rFonts w:ascii="Calibri" w:eastAsia="Times New Roman" w:hAnsi="Calibri" w:cs="Arial"/>
    </w:rPr>
  </w:style>
  <w:style w:type="paragraph" w:styleId="a5">
    <w:name w:val="footer"/>
    <w:basedOn w:val="a"/>
    <w:link w:val="a6"/>
    <w:uiPriority w:val="99"/>
    <w:unhideWhenUsed/>
    <w:rsid w:val="00104E73"/>
    <w:pPr>
      <w:tabs>
        <w:tab w:val="center" w:pos="4153"/>
        <w:tab w:val="right" w:pos="8306"/>
      </w:tabs>
    </w:pPr>
    <w:rPr>
      <w:rFonts w:eastAsia="Times New Roman" w:cs="Arial"/>
    </w:rPr>
  </w:style>
  <w:style w:type="character" w:customStyle="1" w:styleId="a6">
    <w:name w:val="כותרת תחתונה תו"/>
    <w:basedOn w:val="a0"/>
    <w:link w:val="a5"/>
    <w:uiPriority w:val="99"/>
    <w:rsid w:val="00104E73"/>
    <w:rPr>
      <w:rFonts w:ascii="Calibri" w:eastAsia="Times New Roman" w:hAnsi="Calibri" w:cs="Arial"/>
    </w:rPr>
  </w:style>
  <w:style w:type="paragraph" w:styleId="a7">
    <w:name w:val="Balloon Text"/>
    <w:basedOn w:val="a"/>
    <w:link w:val="a8"/>
    <w:uiPriority w:val="99"/>
    <w:semiHidden/>
    <w:unhideWhenUsed/>
    <w:rsid w:val="00104E73"/>
    <w:rPr>
      <w:rFonts w:ascii="Tahoma" w:eastAsia="Times New Roman" w:hAnsi="Tahoma" w:cs="Tahoma"/>
      <w:sz w:val="16"/>
      <w:szCs w:val="16"/>
    </w:rPr>
  </w:style>
  <w:style w:type="character" w:customStyle="1" w:styleId="a8">
    <w:name w:val="טקסט בלונים תו"/>
    <w:basedOn w:val="a0"/>
    <w:link w:val="a7"/>
    <w:uiPriority w:val="99"/>
    <w:semiHidden/>
    <w:rsid w:val="00104E73"/>
    <w:rPr>
      <w:rFonts w:ascii="Tahoma" w:eastAsia="Times New Roman" w:hAnsi="Tahoma" w:cs="Tahoma"/>
      <w:sz w:val="16"/>
      <w:szCs w:val="16"/>
    </w:rPr>
  </w:style>
  <w:style w:type="character" w:styleId="Hyperlink">
    <w:name w:val="Hyperlink"/>
    <w:basedOn w:val="a0"/>
    <w:uiPriority w:val="99"/>
    <w:unhideWhenUsed/>
    <w:rsid w:val="00A64316"/>
    <w:rPr>
      <w:color w:val="0000FF" w:themeColor="hyperlink"/>
      <w:u w:val="single"/>
    </w:rPr>
  </w:style>
  <w:style w:type="character" w:styleId="FollowedHyperlink">
    <w:name w:val="FollowedHyperlink"/>
    <w:basedOn w:val="a0"/>
    <w:uiPriority w:val="99"/>
    <w:semiHidden/>
    <w:unhideWhenUsed/>
    <w:rsid w:val="006F6D9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D63"/>
    <w:pPr>
      <w:bidi/>
      <w:spacing w:after="0" w:line="240" w:lineRule="auto"/>
    </w:pPr>
    <w:rPr>
      <w:rFonts w:ascii="Calibri" w:eastAsiaTheme="minorHAns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4E73"/>
    <w:pPr>
      <w:tabs>
        <w:tab w:val="center" w:pos="4153"/>
        <w:tab w:val="right" w:pos="8306"/>
      </w:tabs>
    </w:pPr>
    <w:rPr>
      <w:rFonts w:eastAsia="Times New Roman" w:cs="Arial"/>
    </w:rPr>
  </w:style>
  <w:style w:type="character" w:customStyle="1" w:styleId="a4">
    <w:name w:val="כותרת עליונה תו"/>
    <w:basedOn w:val="a0"/>
    <w:link w:val="a3"/>
    <w:uiPriority w:val="99"/>
    <w:rsid w:val="00104E73"/>
    <w:rPr>
      <w:rFonts w:ascii="Calibri" w:eastAsia="Times New Roman" w:hAnsi="Calibri" w:cs="Arial"/>
    </w:rPr>
  </w:style>
  <w:style w:type="paragraph" w:styleId="a5">
    <w:name w:val="footer"/>
    <w:basedOn w:val="a"/>
    <w:link w:val="a6"/>
    <w:uiPriority w:val="99"/>
    <w:unhideWhenUsed/>
    <w:rsid w:val="00104E73"/>
    <w:pPr>
      <w:tabs>
        <w:tab w:val="center" w:pos="4153"/>
        <w:tab w:val="right" w:pos="8306"/>
      </w:tabs>
    </w:pPr>
    <w:rPr>
      <w:rFonts w:eastAsia="Times New Roman" w:cs="Arial"/>
    </w:rPr>
  </w:style>
  <w:style w:type="character" w:customStyle="1" w:styleId="a6">
    <w:name w:val="כותרת תחתונה תו"/>
    <w:basedOn w:val="a0"/>
    <w:link w:val="a5"/>
    <w:uiPriority w:val="99"/>
    <w:rsid w:val="00104E73"/>
    <w:rPr>
      <w:rFonts w:ascii="Calibri" w:eastAsia="Times New Roman" w:hAnsi="Calibri" w:cs="Arial"/>
    </w:rPr>
  </w:style>
  <w:style w:type="paragraph" w:styleId="a7">
    <w:name w:val="Balloon Text"/>
    <w:basedOn w:val="a"/>
    <w:link w:val="a8"/>
    <w:uiPriority w:val="99"/>
    <w:semiHidden/>
    <w:unhideWhenUsed/>
    <w:rsid w:val="00104E73"/>
    <w:rPr>
      <w:rFonts w:ascii="Tahoma" w:eastAsia="Times New Roman" w:hAnsi="Tahoma" w:cs="Tahoma"/>
      <w:sz w:val="16"/>
      <w:szCs w:val="16"/>
    </w:rPr>
  </w:style>
  <w:style w:type="character" w:customStyle="1" w:styleId="a8">
    <w:name w:val="טקסט בלונים תו"/>
    <w:basedOn w:val="a0"/>
    <w:link w:val="a7"/>
    <w:uiPriority w:val="99"/>
    <w:semiHidden/>
    <w:rsid w:val="00104E73"/>
    <w:rPr>
      <w:rFonts w:ascii="Tahoma" w:eastAsia="Times New Roman" w:hAnsi="Tahoma" w:cs="Tahoma"/>
      <w:sz w:val="16"/>
      <w:szCs w:val="16"/>
    </w:rPr>
  </w:style>
  <w:style w:type="character" w:styleId="Hyperlink">
    <w:name w:val="Hyperlink"/>
    <w:basedOn w:val="a0"/>
    <w:uiPriority w:val="99"/>
    <w:unhideWhenUsed/>
    <w:rsid w:val="00A64316"/>
    <w:rPr>
      <w:color w:val="0000FF" w:themeColor="hyperlink"/>
      <w:u w:val="single"/>
    </w:rPr>
  </w:style>
  <w:style w:type="character" w:styleId="FollowedHyperlink">
    <w:name w:val="FollowedHyperlink"/>
    <w:basedOn w:val="a0"/>
    <w:uiPriority w:val="99"/>
    <w:semiHidden/>
    <w:unhideWhenUsed/>
    <w:rsid w:val="006F6D9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1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ital.gov.il/NR/exeres/6E900727-FD96-429D-BF00-799D63BD274F,frameless.htm" TargetMode="External"/><Relationship Id="rId3" Type="http://schemas.openxmlformats.org/officeDocument/2006/relationships/settings" Target="settings.xml"/><Relationship Id="rId7" Type="http://schemas.openxmlformats.org/officeDocument/2006/relationships/hyperlink" Target="http://www.moital.gov.il/NR/rdonlyres/56D1C646-9466-434E-96D5-168442B5B394/0/tzavharchava2011.pdf"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349</Words>
  <Characters>1750</Characters>
  <Application>Microsoft Office Word</Application>
  <DocSecurity>0</DocSecurity>
  <Lines>14</Lines>
  <Paragraphs>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moital</dc:creator>
  <cp:lastModifiedBy>moital</cp:lastModifiedBy>
  <cp:revision>5</cp:revision>
  <cp:lastPrinted>2014-05-18T08:18:00Z</cp:lastPrinted>
  <dcterms:created xsi:type="dcterms:W3CDTF">2014-05-15T07:39:00Z</dcterms:created>
  <dcterms:modified xsi:type="dcterms:W3CDTF">2014-06-02T06:36:00Z</dcterms:modified>
</cp:coreProperties>
</file>